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E93EAC" w14:textId="77777777" w:rsidR="00BB706A" w:rsidRDefault="00BB706A" w:rsidP="00BB706A">
      <w:pPr>
        <w:jc w:val="center"/>
        <w:rPr>
          <w:rFonts w:hint="cs"/>
          <w:b/>
          <w:bCs/>
          <w:szCs w:val="24"/>
          <w:u w:val="single"/>
        </w:rPr>
      </w:pPr>
      <w:bookmarkStart w:id="0" w:name="_GoBack"/>
      <w:bookmarkEnd w:id="0"/>
    </w:p>
    <w:p w14:paraId="5116067A" w14:textId="05E2DF34" w:rsidR="00BB706A" w:rsidRPr="00D2447F" w:rsidRDefault="00BB706A" w:rsidP="00BB706A">
      <w:pPr>
        <w:jc w:val="center"/>
        <w:rPr>
          <w:b/>
          <w:bCs/>
          <w:szCs w:val="24"/>
          <w:rtl/>
        </w:rPr>
      </w:pPr>
      <w:r>
        <w:rPr>
          <w:rFonts w:hint="cs"/>
          <w:b/>
          <w:bCs/>
          <w:szCs w:val="24"/>
          <w:u w:val="single"/>
          <w:rtl/>
        </w:rPr>
        <w:t>קול קורא 4/14 למחקרים בתחום האנרגיה ומדעי האדמה והים לשנת 2014</w:t>
      </w:r>
    </w:p>
    <w:p w14:paraId="0C96E095" w14:textId="6B58236E" w:rsidR="00BB706A" w:rsidRDefault="00BB706A" w:rsidP="00A3548D">
      <w:pPr>
        <w:keepLines/>
        <w:autoSpaceDE w:val="0"/>
        <w:autoSpaceDN w:val="0"/>
        <w:adjustRightInd w:val="0"/>
        <w:spacing w:line="276" w:lineRule="auto"/>
        <w:ind w:left="27"/>
        <w:jc w:val="both"/>
        <w:rPr>
          <w:szCs w:val="24"/>
          <w:rtl/>
        </w:rPr>
      </w:pPr>
      <w:bookmarkStart w:id="1" w:name="Start"/>
      <w:bookmarkEnd w:id="1"/>
      <w:r w:rsidRPr="00C50C46">
        <w:rPr>
          <w:rFonts w:hint="cs"/>
          <w:szCs w:val="24"/>
          <w:rtl/>
        </w:rPr>
        <w:t xml:space="preserve">לשכת המדען הראשי </w:t>
      </w:r>
      <w:r>
        <w:rPr>
          <w:rFonts w:hint="cs"/>
          <w:szCs w:val="24"/>
          <w:rtl/>
        </w:rPr>
        <w:t xml:space="preserve">במשרד התשתיות הלאומיות, האנרגיה והמים </w:t>
      </w:r>
      <w:r w:rsidRPr="00F760F0">
        <w:rPr>
          <w:szCs w:val="24"/>
          <w:rtl/>
        </w:rPr>
        <w:t xml:space="preserve">מופקדת על תמיכה מדעית-טכנולוגית בקביעת המדיניות ובתהליכי קבלת ההחלטות במשרד. </w:t>
      </w:r>
      <w:r>
        <w:rPr>
          <w:rFonts w:hint="cs"/>
          <w:szCs w:val="24"/>
          <w:rtl/>
        </w:rPr>
        <w:t xml:space="preserve">לצורך כך </w:t>
      </w:r>
      <w:r w:rsidRPr="00C50C46">
        <w:rPr>
          <w:rFonts w:hint="cs"/>
          <w:szCs w:val="24"/>
          <w:rtl/>
        </w:rPr>
        <w:t xml:space="preserve">מבקשת </w:t>
      </w:r>
      <w:r>
        <w:rPr>
          <w:rFonts w:hint="cs"/>
          <w:szCs w:val="24"/>
          <w:rtl/>
        </w:rPr>
        <w:t xml:space="preserve">לשכת המדען הראשי </w:t>
      </w:r>
      <w:r w:rsidRPr="00C50C46">
        <w:rPr>
          <w:rFonts w:hint="cs"/>
          <w:szCs w:val="24"/>
          <w:rtl/>
        </w:rPr>
        <w:t>לקבל הצעות מחקר בתחו</w:t>
      </w:r>
      <w:r>
        <w:rPr>
          <w:rFonts w:hint="cs"/>
          <w:szCs w:val="24"/>
          <w:rtl/>
        </w:rPr>
        <w:t>מי</w:t>
      </w:r>
      <w:r w:rsidRPr="00C50C46">
        <w:rPr>
          <w:rFonts w:hint="cs"/>
          <w:szCs w:val="24"/>
          <w:rtl/>
        </w:rPr>
        <w:t xml:space="preserve"> האנרגיה</w:t>
      </w:r>
      <w:r>
        <w:rPr>
          <w:rFonts w:hint="cs"/>
          <w:szCs w:val="24"/>
          <w:rtl/>
        </w:rPr>
        <w:t xml:space="preserve">, </w:t>
      </w:r>
      <w:r w:rsidRPr="00C50C46">
        <w:rPr>
          <w:rFonts w:hint="cs"/>
          <w:szCs w:val="24"/>
          <w:rtl/>
        </w:rPr>
        <w:t>ובת</w:t>
      </w:r>
      <w:r>
        <w:rPr>
          <w:rFonts w:hint="cs"/>
          <w:szCs w:val="24"/>
          <w:rtl/>
        </w:rPr>
        <w:t>חומי מדעי האדמה והים כפי שיפורטו במסמכי המכרז.</w:t>
      </w:r>
    </w:p>
    <w:p w14:paraId="13327518" w14:textId="77777777" w:rsidR="00BB706A" w:rsidRDefault="00BB706A" w:rsidP="00A3548D">
      <w:pPr>
        <w:spacing w:line="276" w:lineRule="auto"/>
        <w:ind w:left="27"/>
        <w:jc w:val="both"/>
        <w:rPr>
          <w:szCs w:val="24"/>
          <w:rtl/>
        </w:rPr>
      </w:pPr>
      <w:r w:rsidRPr="0051415C">
        <w:rPr>
          <w:rFonts w:hint="cs"/>
          <w:szCs w:val="24"/>
          <w:rtl/>
        </w:rPr>
        <w:t>המשרד מאפשר ומעודד שיתוף גופי תעשיה במסגרת המחקר וזאת על ידי העסקתם כקבלני משנה בפרויקט</w:t>
      </w:r>
      <w:r w:rsidRPr="0051415C">
        <w:rPr>
          <w:szCs w:val="24"/>
          <w:rtl/>
        </w:rPr>
        <w:t>.</w:t>
      </w:r>
      <w:r>
        <w:rPr>
          <w:rFonts w:hint="cs"/>
          <w:szCs w:val="24"/>
          <w:rtl/>
        </w:rPr>
        <w:t xml:space="preserve"> תתאפשר גם הגשה של הצעות מחקר </w:t>
      </w:r>
      <w:r w:rsidRPr="0051415C">
        <w:rPr>
          <w:szCs w:val="24"/>
          <w:rtl/>
        </w:rPr>
        <w:t>ב</w:t>
      </w:r>
      <w:r>
        <w:rPr>
          <w:rFonts w:hint="cs"/>
          <w:szCs w:val="24"/>
          <w:rtl/>
        </w:rPr>
        <w:t xml:space="preserve">מסגרת שיתופי פעולה בינלאומיים של המשרד. כדוגמת </w:t>
      </w:r>
      <w:r w:rsidRPr="0051415C">
        <w:rPr>
          <w:szCs w:val="24"/>
          <w:rtl/>
        </w:rPr>
        <w:t xml:space="preserve">שיתוף </w:t>
      </w:r>
      <w:r>
        <w:rPr>
          <w:rFonts w:hint="cs"/>
          <w:szCs w:val="24"/>
          <w:rtl/>
        </w:rPr>
        <w:t>ה</w:t>
      </w:r>
      <w:r w:rsidRPr="0051415C">
        <w:rPr>
          <w:szCs w:val="24"/>
          <w:rtl/>
        </w:rPr>
        <w:t>פעולה</w:t>
      </w:r>
      <w:r>
        <w:rPr>
          <w:rFonts w:hint="cs"/>
          <w:szCs w:val="24"/>
          <w:rtl/>
        </w:rPr>
        <w:t xml:space="preserve"> של המדען הראשי</w:t>
      </w:r>
      <w:r w:rsidRPr="0051415C">
        <w:rPr>
          <w:szCs w:val="24"/>
          <w:rtl/>
        </w:rPr>
        <w:t xml:space="preserve"> עם </w:t>
      </w:r>
      <w:r w:rsidRPr="006A382A">
        <w:rPr>
          <w:rFonts w:hint="eastAsia"/>
          <w:szCs w:val="24"/>
          <w:rtl/>
        </w:rPr>
        <w:t>מרכז</w:t>
      </w:r>
      <w:r w:rsidRPr="006A382A">
        <w:rPr>
          <w:szCs w:val="24"/>
          <w:rtl/>
        </w:rPr>
        <w:t xml:space="preserve"> המו"פ המשותף של </w:t>
      </w:r>
      <w:r w:rsidRPr="006A382A">
        <w:rPr>
          <w:rFonts w:hint="eastAsia"/>
          <w:szCs w:val="24"/>
          <w:rtl/>
        </w:rPr>
        <w:t>האיחוד</w:t>
      </w:r>
      <w:r w:rsidRPr="006A382A">
        <w:rPr>
          <w:szCs w:val="24"/>
          <w:rtl/>
        </w:rPr>
        <w:t xml:space="preserve"> האירופ</w:t>
      </w:r>
      <w:r w:rsidRPr="006A382A">
        <w:rPr>
          <w:rFonts w:hint="eastAsia"/>
          <w:szCs w:val="24"/>
          <w:rtl/>
        </w:rPr>
        <w:t>י</w:t>
      </w:r>
      <w:r w:rsidRPr="006A382A">
        <w:rPr>
          <w:szCs w:val="24"/>
          <w:rtl/>
        </w:rPr>
        <w:t xml:space="preserve"> </w:t>
      </w:r>
      <w:r w:rsidRPr="0051415C">
        <w:rPr>
          <w:rFonts w:hint="cs"/>
          <w:szCs w:val="24"/>
          <w:rtl/>
        </w:rPr>
        <w:t>(</w:t>
      </w:r>
      <w:r>
        <w:rPr>
          <w:sz w:val="22"/>
          <w:szCs w:val="22"/>
        </w:rPr>
        <w:t>Joint Research Center</w:t>
      </w:r>
      <w:r>
        <w:rPr>
          <w:rFonts w:hint="cs"/>
          <w:sz w:val="22"/>
          <w:szCs w:val="22"/>
          <w:rtl/>
        </w:rPr>
        <w:t>-</w:t>
      </w:r>
      <w:r>
        <w:rPr>
          <w:rFonts w:hint="cs"/>
          <w:sz w:val="22"/>
          <w:szCs w:val="22"/>
        </w:rPr>
        <w:t>JRC</w:t>
      </w:r>
      <w:r>
        <w:rPr>
          <w:szCs w:val="24"/>
          <w:rtl/>
        </w:rPr>
        <w:t>)</w:t>
      </w:r>
      <w:r>
        <w:rPr>
          <w:rFonts w:hint="cs"/>
          <w:szCs w:val="24"/>
          <w:rtl/>
        </w:rPr>
        <w:t xml:space="preserve">, ו- </w:t>
      </w:r>
      <w:r>
        <w:rPr>
          <w:szCs w:val="24"/>
        </w:rPr>
        <w:t>Solar ERA-NET</w:t>
      </w:r>
      <w:r>
        <w:rPr>
          <w:rFonts w:hint="cs"/>
          <w:szCs w:val="24"/>
          <w:rtl/>
        </w:rPr>
        <w:t xml:space="preserve">. </w:t>
      </w:r>
    </w:p>
    <w:p w14:paraId="11C2DFB4" w14:textId="480E541D" w:rsidR="00BB706A" w:rsidRPr="00745073" w:rsidRDefault="00BB706A" w:rsidP="00A3548D">
      <w:pPr>
        <w:spacing w:line="276" w:lineRule="auto"/>
        <w:ind w:left="27"/>
        <w:jc w:val="both"/>
        <w:rPr>
          <w:szCs w:val="24"/>
          <w:rtl/>
        </w:rPr>
      </w:pPr>
      <w:r>
        <w:rPr>
          <w:rFonts w:hint="cs"/>
          <w:szCs w:val="24"/>
          <w:rtl/>
        </w:rPr>
        <w:t>ניתן להגיש הצעות בתחומי מחקר ו</w:t>
      </w:r>
      <w:r>
        <w:rPr>
          <w:szCs w:val="24"/>
          <w:rtl/>
        </w:rPr>
        <w:t xml:space="preserve">בנושאים </w:t>
      </w:r>
      <w:r>
        <w:rPr>
          <w:rFonts w:hint="cs"/>
          <w:szCs w:val="24"/>
          <w:rtl/>
        </w:rPr>
        <w:t>ה</w:t>
      </w:r>
      <w:r>
        <w:rPr>
          <w:szCs w:val="24"/>
          <w:rtl/>
        </w:rPr>
        <w:t xml:space="preserve">ספציפיים </w:t>
      </w:r>
      <w:r>
        <w:rPr>
          <w:rFonts w:hint="cs"/>
          <w:szCs w:val="24"/>
          <w:rtl/>
        </w:rPr>
        <w:t>המפורטים במסמכי המכרז. המשרד רשאי על פי שיקול דעתו לקבוע בהמשך מסגרת תקציבית ורשימת שיפוט לכל תחום או תת תחום מתחומי המחקר.</w:t>
      </w:r>
    </w:p>
    <w:p w14:paraId="7C0CC8E4" w14:textId="77777777" w:rsidR="00BB706A" w:rsidRDefault="00BB706A" w:rsidP="00A3548D">
      <w:pPr>
        <w:spacing w:line="276" w:lineRule="auto"/>
        <w:ind w:left="27"/>
        <w:jc w:val="both"/>
        <w:rPr>
          <w:szCs w:val="24"/>
          <w:rtl/>
        </w:rPr>
      </w:pPr>
    </w:p>
    <w:p w14:paraId="1183BE21" w14:textId="4675C90F" w:rsidR="00BB706A" w:rsidRDefault="00BB706A" w:rsidP="00A3548D">
      <w:pPr>
        <w:spacing w:line="276" w:lineRule="auto"/>
        <w:ind w:left="27"/>
        <w:jc w:val="both"/>
        <w:rPr>
          <w:szCs w:val="24"/>
          <w:rtl/>
        </w:rPr>
      </w:pPr>
      <w:r>
        <w:rPr>
          <w:rFonts w:hint="cs"/>
          <w:szCs w:val="24"/>
          <w:rtl/>
        </w:rPr>
        <w:t>המכרז מיועד לחוקרים הנמנים עם</w:t>
      </w:r>
      <w:r w:rsidRPr="00C50C46">
        <w:rPr>
          <w:rFonts w:hint="cs"/>
          <w:szCs w:val="24"/>
          <w:rtl/>
        </w:rPr>
        <w:t xml:space="preserve"> מוסדות </w:t>
      </w:r>
      <w:r>
        <w:rPr>
          <w:rFonts w:hint="cs"/>
          <w:szCs w:val="24"/>
          <w:rtl/>
        </w:rPr>
        <w:t>ה</w:t>
      </w:r>
      <w:r w:rsidRPr="00C50C46">
        <w:rPr>
          <w:rFonts w:hint="cs"/>
          <w:szCs w:val="24"/>
          <w:rtl/>
        </w:rPr>
        <w:t xml:space="preserve">מחקר </w:t>
      </w:r>
      <w:r>
        <w:rPr>
          <w:rFonts w:hint="cs"/>
          <w:szCs w:val="24"/>
          <w:rtl/>
        </w:rPr>
        <w:t>וההשכלה הגבוהה.</w:t>
      </w:r>
    </w:p>
    <w:p w14:paraId="0621AFAA" w14:textId="77777777" w:rsidR="00BB706A" w:rsidRDefault="00BB706A" w:rsidP="00A3548D">
      <w:pPr>
        <w:spacing w:line="276" w:lineRule="auto"/>
        <w:ind w:left="27"/>
        <w:jc w:val="both"/>
        <w:rPr>
          <w:szCs w:val="24"/>
          <w:rtl/>
        </w:rPr>
      </w:pPr>
    </w:p>
    <w:p w14:paraId="555CBEA9" w14:textId="77777777" w:rsidR="00BB706A" w:rsidRDefault="00BB706A" w:rsidP="00A3548D">
      <w:pPr>
        <w:pStyle w:val="ab"/>
        <w:spacing w:line="276" w:lineRule="auto"/>
        <w:ind w:left="27"/>
        <w:jc w:val="both"/>
        <w:rPr>
          <w:rFonts w:eastAsiaTheme="majorEastAsia"/>
          <w:b/>
          <w:bCs/>
          <w:szCs w:val="24"/>
          <w:rtl/>
        </w:rPr>
      </w:pPr>
      <w:r w:rsidRPr="0024007E">
        <w:rPr>
          <w:rFonts w:eastAsiaTheme="majorEastAsia" w:hint="eastAsia"/>
          <w:b/>
          <w:bCs/>
          <w:szCs w:val="24"/>
          <w:rtl/>
        </w:rPr>
        <w:t>יובהר</w:t>
      </w:r>
      <w:r w:rsidRPr="0024007E">
        <w:rPr>
          <w:rFonts w:eastAsiaTheme="majorEastAsia"/>
          <w:b/>
          <w:bCs/>
          <w:szCs w:val="24"/>
          <w:rtl/>
        </w:rPr>
        <w:t xml:space="preserve"> </w:t>
      </w:r>
      <w:r w:rsidRPr="0024007E">
        <w:rPr>
          <w:rFonts w:eastAsiaTheme="majorEastAsia" w:hint="eastAsia"/>
          <w:b/>
          <w:bCs/>
          <w:szCs w:val="24"/>
          <w:rtl/>
        </w:rPr>
        <w:t>ויודגש</w:t>
      </w:r>
      <w:r w:rsidRPr="0024007E">
        <w:rPr>
          <w:rFonts w:eastAsiaTheme="majorEastAsia"/>
          <w:b/>
          <w:bCs/>
          <w:szCs w:val="24"/>
          <w:rtl/>
        </w:rPr>
        <w:t xml:space="preserve"> </w:t>
      </w:r>
      <w:r w:rsidRPr="0024007E">
        <w:rPr>
          <w:rFonts w:eastAsiaTheme="majorEastAsia" w:hint="eastAsia"/>
          <w:b/>
          <w:bCs/>
          <w:szCs w:val="24"/>
          <w:rtl/>
        </w:rPr>
        <w:t>כי</w:t>
      </w:r>
      <w:r w:rsidRPr="0024007E">
        <w:rPr>
          <w:rFonts w:eastAsiaTheme="majorEastAsia"/>
          <w:b/>
          <w:bCs/>
          <w:szCs w:val="24"/>
          <w:rtl/>
        </w:rPr>
        <w:t xml:space="preserve"> </w:t>
      </w:r>
      <w:r w:rsidRPr="0024007E">
        <w:rPr>
          <w:rFonts w:eastAsiaTheme="majorEastAsia" w:hint="eastAsia"/>
          <w:b/>
          <w:bCs/>
          <w:szCs w:val="24"/>
          <w:rtl/>
        </w:rPr>
        <w:t>זמינותו</w:t>
      </w:r>
      <w:r w:rsidRPr="0024007E">
        <w:rPr>
          <w:rFonts w:eastAsiaTheme="majorEastAsia"/>
          <w:b/>
          <w:bCs/>
          <w:szCs w:val="24"/>
          <w:rtl/>
        </w:rPr>
        <w:t xml:space="preserve"> </w:t>
      </w:r>
      <w:r w:rsidRPr="0024007E">
        <w:rPr>
          <w:rFonts w:eastAsiaTheme="majorEastAsia" w:hint="eastAsia"/>
          <w:b/>
          <w:bCs/>
          <w:szCs w:val="24"/>
          <w:rtl/>
        </w:rPr>
        <w:t>של</w:t>
      </w:r>
      <w:r w:rsidRPr="0024007E">
        <w:rPr>
          <w:rFonts w:eastAsiaTheme="majorEastAsia"/>
          <w:b/>
          <w:bCs/>
          <w:szCs w:val="24"/>
          <w:rtl/>
        </w:rPr>
        <w:t xml:space="preserve"> </w:t>
      </w:r>
      <w:r w:rsidRPr="0024007E">
        <w:rPr>
          <w:rFonts w:eastAsiaTheme="majorEastAsia" w:hint="eastAsia"/>
          <w:b/>
          <w:bCs/>
          <w:szCs w:val="24"/>
          <w:rtl/>
        </w:rPr>
        <w:t>התקציב</w:t>
      </w:r>
      <w:r w:rsidRPr="0024007E">
        <w:rPr>
          <w:rFonts w:eastAsiaTheme="majorEastAsia"/>
          <w:b/>
          <w:bCs/>
          <w:szCs w:val="24"/>
          <w:rtl/>
        </w:rPr>
        <w:t xml:space="preserve"> </w:t>
      </w:r>
      <w:r w:rsidRPr="0024007E">
        <w:rPr>
          <w:rFonts w:eastAsiaTheme="majorEastAsia" w:hint="eastAsia"/>
          <w:b/>
          <w:bCs/>
          <w:szCs w:val="24"/>
          <w:rtl/>
        </w:rPr>
        <w:t>לביצוע</w:t>
      </w:r>
      <w:r w:rsidRPr="0024007E">
        <w:rPr>
          <w:rFonts w:eastAsiaTheme="majorEastAsia"/>
          <w:b/>
          <w:bCs/>
          <w:szCs w:val="24"/>
          <w:rtl/>
        </w:rPr>
        <w:t xml:space="preserve"> </w:t>
      </w:r>
      <w:r w:rsidRPr="0024007E">
        <w:rPr>
          <w:rFonts w:eastAsiaTheme="majorEastAsia" w:hint="eastAsia"/>
          <w:b/>
          <w:bCs/>
          <w:szCs w:val="24"/>
          <w:rtl/>
        </w:rPr>
        <w:t>ההתקשרות</w:t>
      </w:r>
      <w:r w:rsidRPr="0024007E">
        <w:rPr>
          <w:rFonts w:eastAsiaTheme="majorEastAsia"/>
          <w:b/>
          <w:bCs/>
          <w:szCs w:val="24"/>
          <w:rtl/>
        </w:rPr>
        <w:t xml:space="preserve"> </w:t>
      </w:r>
      <w:r w:rsidRPr="0024007E">
        <w:rPr>
          <w:rFonts w:eastAsiaTheme="majorEastAsia" w:hint="eastAsia"/>
          <w:b/>
          <w:bCs/>
          <w:szCs w:val="24"/>
          <w:rtl/>
        </w:rPr>
        <w:t>אינו</w:t>
      </w:r>
      <w:r w:rsidRPr="0024007E">
        <w:rPr>
          <w:rFonts w:eastAsiaTheme="majorEastAsia"/>
          <w:b/>
          <w:bCs/>
          <w:szCs w:val="24"/>
          <w:rtl/>
        </w:rPr>
        <w:t xml:space="preserve"> </w:t>
      </w:r>
      <w:r w:rsidRPr="0024007E">
        <w:rPr>
          <w:rFonts w:eastAsiaTheme="majorEastAsia" w:hint="eastAsia"/>
          <w:b/>
          <w:bCs/>
          <w:szCs w:val="24"/>
          <w:rtl/>
        </w:rPr>
        <w:t>מובטח</w:t>
      </w:r>
      <w:r w:rsidRPr="0024007E">
        <w:rPr>
          <w:rFonts w:eastAsiaTheme="majorEastAsia"/>
          <w:b/>
          <w:bCs/>
          <w:szCs w:val="24"/>
          <w:rtl/>
        </w:rPr>
        <w:t xml:space="preserve"> </w:t>
      </w:r>
      <w:r w:rsidRPr="0024007E">
        <w:rPr>
          <w:rFonts w:eastAsiaTheme="majorEastAsia" w:hint="eastAsia"/>
          <w:b/>
          <w:bCs/>
          <w:szCs w:val="24"/>
          <w:rtl/>
        </w:rPr>
        <w:t>בשלב</w:t>
      </w:r>
      <w:r w:rsidRPr="0024007E">
        <w:rPr>
          <w:rFonts w:eastAsiaTheme="majorEastAsia"/>
          <w:b/>
          <w:bCs/>
          <w:szCs w:val="24"/>
          <w:rtl/>
        </w:rPr>
        <w:t xml:space="preserve"> </w:t>
      </w:r>
      <w:r w:rsidRPr="0024007E">
        <w:rPr>
          <w:rFonts w:eastAsiaTheme="majorEastAsia" w:hint="eastAsia"/>
          <w:b/>
          <w:bCs/>
          <w:szCs w:val="24"/>
          <w:rtl/>
        </w:rPr>
        <w:t>פרסום</w:t>
      </w:r>
      <w:r w:rsidRPr="0024007E">
        <w:rPr>
          <w:rFonts w:eastAsiaTheme="majorEastAsia"/>
          <w:b/>
          <w:bCs/>
          <w:szCs w:val="24"/>
          <w:rtl/>
        </w:rPr>
        <w:t xml:space="preserve"> </w:t>
      </w:r>
      <w:r w:rsidRPr="0024007E">
        <w:rPr>
          <w:rFonts w:eastAsiaTheme="majorEastAsia" w:hint="eastAsia"/>
          <w:b/>
          <w:bCs/>
          <w:szCs w:val="24"/>
          <w:rtl/>
        </w:rPr>
        <w:t>הפניה</w:t>
      </w:r>
      <w:r w:rsidRPr="0024007E">
        <w:rPr>
          <w:rFonts w:eastAsiaTheme="majorEastAsia"/>
          <w:b/>
          <w:bCs/>
          <w:szCs w:val="24"/>
          <w:rtl/>
        </w:rPr>
        <w:t xml:space="preserve"> </w:t>
      </w:r>
      <w:r w:rsidRPr="0024007E">
        <w:rPr>
          <w:rFonts w:eastAsiaTheme="majorEastAsia" w:hint="eastAsia"/>
          <w:b/>
          <w:bCs/>
          <w:szCs w:val="24"/>
          <w:rtl/>
        </w:rPr>
        <w:t>וההתקשרות</w:t>
      </w:r>
      <w:r w:rsidRPr="0024007E">
        <w:rPr>
          <w:rFonts w:eastAsiaTheme="majorEastAsia"/>
          <w:b/>
          <w:bCs/>
          <w:szCs w:val="24"/>
          <w:rtl/>
        </w:rPr>
        <w:t xml:space="preserve"> </w:t>
      </w:r>
      <w:r w:rsidRPr="0024007E">
        <w:rPr>
          <w:rFonts w:eastAsiaTheme="majorEastAsia" w:hint="eastAsia"/>
          <w:b/>
          <w:bCs/>
          <w:szCs w:val="24"/>
          <w:rtl/>
        </w:rPr>
        <w:t>עם</w:t>
      </w:r>
      <w:r w:rsidRPr="0024007E">
        <w:rPr>
          <w:rFonts w:eastAsiaTheme="majorEastAsia"/>
          <w:b/>
          <w:bCs/>
          <w:szCs w:val="24"/>
          <w:rtl/>
        </w:rPr>
        <w:t xml:space="preserve"> </w:t>
      </w:r>
      <w:r w:rsidRPr="0024007E">
        <w:rPr>
          <w:rFonts w:eastAsiaTheme="majorEastAsia" w:hint="eastAsia"/>
          <w:b/>
          <w:bCs/>
          <w:szCs w:val="24"/>
          <w:rtl/>
        </w:rPr>
        <w:t>הזוכה</w:t>
      </w:r>
      <w:r w:rsidRPr="0024007E">
        <w:rPr>
          <w:rFonts w:eastAsiaTheme="majorEastAsia"/>
          <w:b/>
          <w:bCs/>
          <w:szCs w:val="24"/>
          <w:rtl/>
        </w:rPr>
        <w:t xml:space="preserve"> </w:t>
      </w:r>
      <w:r w:rsidRPr="0024007E">
        <w:rPr>
          <w:rFonts w:eastAsiaTheme="majorEastAsia" w:hint="eastAsia"/>
          <w:b/>
          <w:bCs/>
          <w:szCs w:val="24"/>
          <w:rtl/>
        </w:rPr>
        <w:t>מותני</w:t>
      </w:r>
      <w:r w:rsidRPr="0024007E">
        <w:rPr>
          <w:rFonts w:eastAsiaTheme="majorEastAsia" w:hint="cs"/>
          <w:b/>
          <w:bCs/>
          <w:szCs w:val="24"/>
          <w:rtl/>
        </w:rPr>
        <w:t>ת בקיומו של תקציב זמין</w:t>
      </w:r>
      <w:r w:rsidRPr="0024007E">
        <w:rPr>
          <w:rFonts w:eastAsiaTheme="majorEastAsia"/>
          <w:b/>
          <w:bCs/>
          <w:szCs w:val="24"/>
          <w:rtl/>
        </w:rPr>
        <w:t>.</w:t>
      </w:r>
    </w:p>
    <w:p w14:paraId="3C129EBF" w14:textId="77777777" w:rsidR="00BB706A" w:rsidRPr="00C32799" w:rsidRDefault="00BB706A" w:rsidP="00A3548D">
      <w:pPr>
        <w:pStyle w:val="ab"/>
        <w:spacing w:before="240" w:line="276" w:lineRule="auto"/>
        <w:ind w:left="27"/>
        <w:contextualSpacing w:val="0"/>
        <w:jc w:val="both"/>
        <w:rPr>
          <w:b/>
          <w:bCs/>
          <w:szCs w:val="24"/>
          <w:u w:val="single"/>
        </w:rPr>
      </w:pPr>
      <w:r w:rsidRPr="00C32799">
        <w:rPr>
          <w:rFonts w:hint="cs"/>
          <w:b/>
          <w:bCs/>
          <w:szCs w:val="24"/>
          <w:u w:val="single"/>
          <w:rtl/>
        </w:rPr>
        <w:t>כללי</w:t>
      </w:r>
    </w:p>
    <w:p w14:paraId="3160EAD7" w14:textId="77777777" w:rsidR="00BB706A" w:rsidRDefault="00BB706A" w:rsidP="00A3548D">
      <w:pPr>
        <w:spacing w:after="120" w:line="276" w:lineRule="auto"/>
        <w:ind w:left="27"/>
        <w:jc w:val="both"/>
        <w:rPr>
          <w:szCs w:val="24"/>
          <w:rtl/>
        </w:rPr>
      </w:pPr>
      <w:r w:rsidRPr="00A87462">
        <w:rPr>
          <w:szCs w:val="24"/>
          <w:rtl/>
        </w:rPr>
        <w:t>תקופת המחקר המוצע לא תעלה על שלוש שנים</w:t>
      </w:r>
      <w:r w:rsidRPr="00A87462">
        <w:rPr>
          <w:rFonts w:hint="cs"/>
          <w:szCs w:val="24"/>
          <w:rtl/>
        </w:rPr>
        <w:t>. למשרד בלבד שמורה האופציה להאריך את ההתקשרות עד לשנה נוספת אחת, ללא תוספת תקציב.</w:t>
      </w:r>
      <w:r w:rsidRPr="00A87462">
        <w:rPr>
          <w:szCs w:val="24"/>
          <w:rtl/>
        </w:rPr>
        <w:t xml:space="preserve"> </w:t>
      </w:r>
      <w:r w:rsidRPr="00A87462">
        <w:rPr>
          <w:rFonts w:hint="cs"/>
          <w:szCs w:val="24"/>
          <w:rtl/>
        </w:rPr>
        <w:t>מובהר בזאת שהמשרד רשאי לאשר המחקר לתקופה קצרה מהמבוקשת בהצעה</w:t>
      </w:r>
      <w:r>
        <w:rPr>
          <w:rFonts w:hint="cs"/>
          <w:szCs w:val="24"/>
          <w:rtl/>
        </w:rPr>
        <w:t>.</w:t>
      </w:r>
    </w:p>
    <w:p w14:paraId="6E1E11B2" w14:textId="77777777" w:rsidR="00BB706A" w:rsidRDefault="00BB706A" w:rsidP="00A3548D">
      <w:pPr>
        <w:tabs>
          <w:tab w:val="left" w:pos="2200"/>
        </w:tabs>
        <w:autoSpaceDE w:val="0"/>
        <w:autoSpaceDN w:val="0"/>
        <w:adjustRightInd w:val="0"/>
        <w:spacing w:line="276" w:lineRule="auto"/>
        <w:ind w:left="27"/>
        <w:jc w:val="both"/>
        <w:rPr>
          <w:rtl/>
        </w:rPr>
      </w:pPr>
      <w:r w:rsidRPr="00EC0C97">
        <w:rPr>
          <w:rFonts w:ascii="Arial" w:hAnsi="Arial" w:hint="cs"/>
          <w:b/>
          <w:szCs w:val="24"/>
          <w:rtl/>
        </w:rPr>
        <w:t xml:space="preserve">מסמכי קול הקורא כוללים תיאור מפורט של ההצעה הנדרשת, התנאים להשתתפות בקול הקורא, אמות המידה לבחירת ההצעה הזוכה וכן את נוסח החוזה שייחתם עם הזוכה ואת תנאי ההתקשרות. את מסמכי </w:t>
      </w:r>
      <w:r>
        <w:rPr>
          <w:rFonts w:ascii="Arial" w:hAnsi="Arial" w:hint="cs"/>
          <w:b/>
          <w:szCs w:val="24"/>
          <w:rtl/>
        </w:rPr>
        <w:t>קול הקורא</w:t>
      </w:r>
      <w:r w:rsidRPr="00EC0C97">
        <w:rPr>
          <w:rFonts w:ascii="Arial" w:hAnsi="Arial" w:hint="cs"/>
          <w:b/>
          <w:szCs w:val="24"/>
          <w:rtl/>
        </w:rPr>
        <w:t xml:space="preserve"> ניתן להוריד מאתר האינטרנט של המשרד שכתובתו: </w:t>
      </w:r>
      <w:hyperlink r:id="rId12" w:history="1">
        <w:r w:rsidRPr="00EC0C97">
          <w:rPr>
            <w:rStyle w:val="Hyperlink"/>
            <w:rFonts w:ascii="Arial" w:hAnsi="Arial"/>
            <w:b/>
            <w:color w:val="auto"/>
            <w:szCs w:val="24"/>
          </w:rPr>
          <w:t>www.energy.gov.il</w:t>
        </w:r>
      </w:hyperlink>
      <w:r w:rsidRPr="00EC0C97">
        <w:rPr>
          <w:rFonts w:hint="cs"/>
          <w:rtl/>
        </w:rPr>
        <w:t>.</w:t>
      </w:r>
    </w:p>
    <w:p w14:paraId="1299C078" w14:textId="77777777" w:rsidR="00BB706A" w:rsidRPr="00EC0C97" w:rsidRDefault="00BB706A" w:rsidP="00A3548D">
      <w:pPr>
        <w:tabs>
          <w:tab w:val="left" w:pos="2200"/>
        </w:tabs>
        <w:autoSpaceDE w:val="0"/>
        <w:autoSpaceDN w:val="0"/>
        <w:adjustRightInd w:val="0"/>
        <w:spacing w:line="276" w:lineRule="auto"/>
        <w:ind w:left="27"/>
        <w:jc w:val="both"/>
        <w:rPr>
          <w:rFonts w:ascii="Arial" w:hAnsi="Arial"/>
          <w:b/>
          <w:szCs w:val="24"/>
          <w:rtl/>
        </w:rPr>
      </w:pPr>
    </w:p>
    <w:p w14:paraId="2F79772A" w14:textId="77777777" w:rsidR="00BB706A" w:rsidRPr="00003017" w:rsidRDefault="00BB706A" w:rsidP="00A3548D">
      <w:pPr>
        <w:tabs>
          <w:tab w:val="left" w:pos="2200"/>
        </w:tabs>
        <w:autoSpaceDE w:val="0"/>
        <w:autoSpaceDN w:val="0"/>
        <w:adjustRightInd w:val="0"/>
        <w:spacing w:line="276" w:lineRule="auto"/>
        <w:ind w:left="27"/>
        <w:jc w:val="both"/>
        <w:rPr>
          <w:rFonts w:ascii="Arial" w:hAnsi="Arial"/>
          <w:b/>
          <w:color w:val="FF0000"/>
          <w:szCs w:val="24"/>
          <w:rtl/>
        </w:rPr>
      </w:pPr>
      <w:r w:rsidRPr="002B1B2D">
        <w:rPr>
          <w:rFonts w:hint="cs"/>
          <w:b/>
          <w:bCs/>
          <w:szCs w:val="24"/>
          <w:rtl/>
        </w:rPr>
        <w:t>אי מילוי מדויק של הדרישות המפורטות בתנאי הסף ייתכן ויביא לפסילת ההצעה על הסף.</w:t>
      </w:r>
    </w:p>
    <w:p w14:paraId="61DD493E" w14:textId="77777777" w:rsidR="00BB706A" w:rsidRDefault="00BB706A" w:rsidP="00A3548D">
      <w:pPr>
        <w:ind w:left="27"/>
        <w:jc w:val="both"/>
        <w:rPr>
          <w:szCs w:val="24"/>
          <w:rtl/>
        </w:rPr>
      </w:pPr>
    </w:p>
    <w:p w14:paraId="014FB834" w14:textId="77777777" w:rsidR="00BB706A" w:rsidRPr="008C2340" w:rsidRDefault="00BB706A" w:rsidP="00A3548D">
      <w:pPr>
        <w:ind w:left="27"/>
        <w:jc w:val="both"/>
        <w:rPr>
          <w:szCs w:val="24"/>
        </w:rPr>
      </w:pPr>
      <w:r w:rsidRPr="008C2340">
        <w:rPr>
          <w:rFonts w:hint="cs"/>
          <w:szCs w:val="24"/>
          <w:rtl/>
        </w:rPr>
        <w:t xml:space="preserve">ההצעות תוגשנה בשני עותקים (מקור </w:t>
      </w:r>
      <w:r>
        <w:rPr>
          <w:rFonts w:hint="cs"/>
          <w:szCs w:val="24"/>
          <w:rtl/>
        </w:rPr>
        <w:t>ו</w:t>
      </w:r>
      <w:r w:rsidRPr="008C2340">
        <w:rPr>
          <w:rFonts w:hint="cs"/>
          <w:szCs w:val="24"/>
          <w:rtl/>
        </w:rPr>
        <w:t xml:space="preserve">העתק) וכן ע"ג </w:t>
      </w:r>
      <w:r>
        <w:rPr>
          <w:rFonts w:hint="cs"/>
          <w:szCs w:val="24"/>
          <w:rtl/>
        </w:rPr>
        <w:t>מדיה דיגיטלית</w:t>
      </w:r>
      <w:r w:rsidRPr="008C2340">
        <w:rPr>
          <w:rFonts w:hint="cs"/>
          <w:szCs w:val="24"/>
          <w:rtl/>
        </w:rPr>
        <w:t xml:space="preserve"> על פי ההנחיות המופיעות בקול הקורא.</w:t>
      </w:r>
    </w:p>
    <w:p w14:paraId="6A5A4CD9" w14:textId="34036C20" w:rsidR="00BB706A" w:rsidRPr="008C2340" w:rsidRDefault="00BB706A" w:rsidP="00A3548D">
      <w:pPr>
        <w:ind w:left="27"/>
        <w:jc w:val="both"/>
        <w:rPr>
          <w:szCs w:val="24"/>
        </w:rPr>
      </w:pPr>
      <w:r w:rsidRPr="008C2340">
        <w:rPr>
          <w:rFonts w:hint="cs"/>
          <w:szCs w:val="24"/>
          <w:rtl/>
        </w:rPr>
        <w:t xml:space="preserve">את מעטפת ההצעה יש להכניס לתיבת המכרזים הנמצאת במשרד </w:t>
      </w:r>
      <w:r>
        <w:rPr>
          <w:rFonts w:hint="cs"/>
          <w:szCs w:val="24"/>
          <w:rtl/>
        </w:rPr>
        <w:t>האנרגיה והמים,</w:t>
      </w:r>
      <w:r w:rsidRPr="008C2340">
        <w:rPr>
          <w:rFonts w:hint="cs"/>
          <w:szCs w:val="24"/>
          <w:rtl/>
        </w:rPr>
        <w:t xml:space="preserve"> רח' יפו 216</w:t>
      </w:r>
      <w:r>
        <w:rPr>
          <w:rFonts w:hint="cs"/>
          <w:szCs w:val="24"/>
          <w:rtl/>
        </w:rPr>
        <w:t>,</w:t>
      </w:r>
      <w:r w:rsidRPr="008C2340">
        <w:rPr>
          <w:rFonts w:hint="cs"/>
          <w:szCs w:val="24"/>
          <w:rtl/>
        </w:rPr>
        <w:t xml:space="preserve"> ירושלים, קומה 7 (במסדרון</w:t>
      </w:r>
      <w:r>
        <w:rPr>
          <w:rFonts w:hint="cs"/>
          <w:szCs w:val="24"/>
          <w:rtl/>
        </w:rPr>
        <w:t xml:space="preserve"> ליד השומר</w:t>
      </w:r>
      <w:r w:rsidRPr="008C2340">
        <w:rPr>
          <w:rFonts w:hint="cs"/>
          <w:szCs w:val="24"/>
          <w:rtl/>
        </w:rPr>
        <w:t>)</w:t>
      </w:r>
      <w:r>
        <w:rPr>
          <w:rFonts w:hint="cs"/>
          <w:szCs w:val="24"/>
          <w:rtl/>
        </w:rPr>
        <w:t>,</w:t>
      </w:r>
      <w:r w:rsidRPr="008C2340">
        <w:rPr>
          <w:rFonts w:hint="cs"/>
          <w:szCs w:val="24"/>
          <w:rtl/>
        </w:rPr>
        <w:t xml:space="preserve"> לא יאוחר מיום </w:t>
      </w:r>
      <w:r w:rsidR="00A3548D">
        <w:rPr>
          <w:rFonts w:hint="cs"/>
          <w:b/>
          <w:bCs/>
          <w:szCs w:val="24"/>
          <w:u w:val="single"/>
          <w:rtl/>
        </w:rPr>
        <w:t>29.5.14</w:t>
      </w:r>
      <w:r>
        <w:rPr>
          <w:rFonts w:hint="cs"/>
          <w:b/>
          <w:bCs/>
          <w:szCs w:val="24"/>
          <w:u w:val="single"/>
          <w:rtl/>
        </w:rPr>
        <w:t xml:space="preserve"> בשעה 14:00.</w:t>
      </w:r>
    </w:p>
    <w:p w14:paraId="2543163F" w14:textId="77777777" w:rsidR="00BB706A" w:rsidRDefault="00BB706A" w:rsidP="00A3548D">
      <w:pPr>
        <w:ind w:left="27"/>
        <w:jc w:val="both"/>
        <w:rPr>
          <w:szCs w:val="24"/>
          <w:rtl/>
        </w:rPr>
      </w:pPr>
      <w:r w:rsidRPr="008C2340">
        <w:rPr>
          <w:rFonts w:hint="cs"/>
          <w:szCs w:val="24"/>
          <w:rtl/>
        </w:rPr>
        <w:t>אם המציע מחליט לשלוח את המעטפה באמצעות שליח (לרבות חברת דואר ישראל), עליו להכניסה לתוך מעטפה שניי</w:t>
      </w:r>
      <w:r w:rsidRPr="008C2340">
        <w:rPr>
          <w:rFonts w:hint="eastAsia"/>
          <w:szCs w:val="24"/>
          <w:rtl/>
        </w:rPr>
        <w:t>ה</w:t>
      </w:r>
      <w:r w:rsidRPr="008C2340">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19B94608" w14:textId="77777777" w:rsidR="00BB706A" w:rsidRPr="00003017" w:rsidRDefault="00BB706A" w:rsidP="00A3548D">
      <w:pPr>
        <w:tabs>
          <w:tab w:val="left" w:pos="2200"/>
        </w:tabs>
        <w:autoSpaceDE w:val="0"/>
        <w:autoSpaceDN w:val="0"/>
        <w:adjustRightInd w:val="0"/>
        <w:spacing w:line="276" w:lineRule="auto"/>
        <w:ind w:left="27"/>
        <w:jc w:val="both"/>
        <w:rPr>
          <w:rFonts w:ascii="Arial" w:hAnsi="Arial"/>
          <w:b/>
          <w:color w:val="FF0000"/>
          <w:szCs w:val="24"/>
          <w:rtl/>
        </w:rPr>
      </w:pPr>
    </w:p>
    <w:p w14:paraId="73C05DE5" w14:textId="77777777" w:rsidR="00BB706A" w:rsidRPr="00EC0C97" w:rsidRDefault="00BB706A" w:rsidP="00A3548D">
      <w:pPr>
        <w:tabs>
          <w:tab w:val="left" w:pos="2200"/>
        </w:tabs>
        <w:autoSpaceDE w:val="0"/>
        <w:autoSpaceDN w:val="0"/>
        <w:adjustRightInd w:val="0"/>
        <w:spacing w:line="276" w:lineRule="auto"/>
        <w:ind w:left="27"/>
        <w:jc w:val="both"/>
        <w:rPr>
          <w:rFonts w:ascii="Arial" w:hAnsi="Arial"/>
          <w:bCs/>
          <w:szCs w:val="24"/>
          <w:rtl/>
        </w:rPr>
      </w:pPr>
      <w:r w:rsidRPr="00EC0C97">
        <w:rPr>
          <w:rFonts w:ascii="Arial" w:hAnsi="Arial" w:hint="cs"/>
          <w:bCs/>
          <w:szCs w:val="24"/>
          <w:rtl/>
        </w:rPr>
        <w:t>בכל מקרה של סתירה בין האמור בהודעה זו לאמור במסמכי המכרז - יגבר האמור במסמכי המכרז.</w:t>
      </w:r>
    </w:p>
    <w:p w14:paraId="35DF14DA" w14:textId="77777777" w:rsidR="00BB706A" w:rsidRDefault="00BB706A" w:rsidP="00A3548D">
      <w:pPr>
        <w:pStyle w:val="ab"/>
        <w:spacing w:line="276" w:lineRule="auto"/>
        <w:ind w:left="27"/>
        <w:contextualSpacing w:val="0"/>
        <w:jc w:val="both"/>
        <w:rPr>
          <w:b/>
          <w:bCs/>
          <w:szCs w:val="24"/>
          <w:rtl/>
        </w:rPr>
      </w:pPr>
    </w:p>
    <w:p w14:paraId="4A2FB002" w14:textId="0D81338C" w:rsidR="00BB706A" w:rsidRPr="00B52738" w:rsidRDefault="00BB706A" w:rsidP="00A3548D">
      <w:pPr>
        <w:tabs>
          <w:tab w:val="left" w:pos="8617"/>
        </w:tabs>
        <w:spacing w:line="276" w:lineRule="auto"/>
        <w:ind w:left="27"/>
        <w:jc w:val="both"/>
        <w:rPr>
          <w:szCs w:val="24"/>
          <w:rtl/>
        </w:rPr>
      </w:pPr>
      <w:r w:rsidRPr="00B52738">
        <w:rPr>
          <w:rFonts w:hint="cs"/>
          <w:szCs w:val="24"/>
          <w:rtl/>
        </w:rPr>
        <w:t xml:space="preserve">המועד האחרון להפניה של שאלות והבהרות  הינו </w:t>
      </w:r>
      <w:r w:rsidR="00A3548D">
        <w:rPr>
          <w:rFonts w:hint="cs"/>
          <w:b/>
          <w:bCs/>
          <w:szCs w:val="24"/>
          <w:u w:val="single"/>
          <w:rtl/>
        </w:rPr>
        <w:t>29.4.14</w:t>
      </w:r>
      <w:r w:rsidRPr="00DA31DA">
        <w:rPr>
          <w:rFonts w:hint="cs"/>
          <w:b/>
          <w:bCs/>
          <w:szCs w:val="24"/>
          <w:u w:val="single"/>
          <w:rtl/>
        </w:rPr>
        <w:t xml:space="preserve"> שעה 14:00</w:t>
      </w:r>
      <w:r w:rsidRPr="00B52738">
        <w:rPr>
          <w:rFonts w:hint="cs"/>
          <w:szCs w:val="24"/>
          <w:rtl/>
        </w:rPr>
        <w:t xml:space="preserve"> לגב' אילנה טמסוט בדואר אלקטרוני שכתובתו:</w:t>
      </w:r>
      <w:hyperlink r:id="rId13"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מסמך </w:t>
      </w:r>
      <w:r w:rsidRPr="00B52738">
        <w:rPr>
          <w:rFonts w:hint="cs"/>
          <w:szCs w:val="24"/>
        </w:rPr>
        <w:t>WOED</w:t>
      </w:r>
      <w:r w:rsidRPr="00B52738">
        <w:rPr>
          <w:rFonts w:hint="cs"/>
          <w:szCs w:val="24"/>
          <w:rtl/>
        </w:rPr>
        <w:t xml:space="preserve"> בלבד, המשרד לא ישיב שאלות שיגיעו לאחר מועד אחרון זה.</w:t>
      </w:r>
    </w:p>
    <w:p w14:paraId="22801B23" w14:textId="77777777" w:rsidR="00BB706A" w:rsidRPr="00B52738" w:rsidRDefault="00BB706A" w:rsidP="00A3548D">
      <w:pPr>
        <w:tabs>
          <w:tab w:val="left" w:pos="8617"/>
        </w:tabs>
        <w:spacing w:line="360" w:lineRule="auto"/>
        <w:ind w:left="27"/>
        <w:jc w:val="both"/>
        <w:rPr>
          <w:szCs w:val="24"/>
          <w:rtl/>
        </w:rPr>
      </w:pPr>
    </w:p>
    <w:p w14:paraId="279DE276" w14:textId="77777777" w:rsidR="00BB706A" w:rsidRPr="00B52738" w:rsidRDefault="00BB706A" w:rsidP="00A3548D">
      <w:pPr>
        <w:tabs>
          <w:tab w:val="left" w:pos="9355"/>
        </w:tabs>
        <w:spacing w:line="276" w:lineRule="auto"/>
        <w:ind w:left="27"/>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6F058D0D" w14:textId="0132B316" w:rsidR="00BB706A" w:rsidRPr="00B52738" w:rsidRDefault="00A3548D" w:rsidP="00A3548D">
      <w:pPr>
        <w:tabs>
          <w:tab w:val="left" w:pos="9355"/>
        </w:tabs>
        <w:spacing w:line="276" w:lineRule="auto"/>
        <w:ind w:left="27"/>
        <w:jc w:val="both"/>
        <w:rPr>
          <w:szCs w:val="24"/>
          <w:rtl/>
        </w:rPr>
      </w:pPr>
      <w:r>
        <w:rPr>
          <w:rFonts w:hint="cs"/>
          <w:b/>
          <w:bCs/>
          <w:szCs w:val="24"/>
          <w:u w:val="single"/>
          <w:rtl/>
        </w:rPr>
        <w:t xml:space="preserve">13.5.14 </w:t>
      </w:r>
      <w:r w:rsidR="00BB706A" w:rsidRPr="00B52738">
        <w:rPr>
          <w:rFonts w:hint="cs"/>
          <w:szCs w:val="24"/>
          <w:rtl/>
        </w:rPr>
        <w:t>והן יהוו חלק בלתי נפרד ממסמכי המכרז ויחייבו את כל המציעים.</w:t>
      </w:r>
    </w:p>
    <w:p w14:paraId="430110CD" w14:textId="77777777" w:rsidR="00BB706A" w:rsidRPr="00B52738" w:rsidRDefault="00BB706A" w:rsidP="00A3548D">
      <w:pPr>
        <w:tabs>
          <w:tab w:val="left" w:pos="9355"/>
        </w:tabs>
        <w:spacing w:line="276" w:lineRule="auto"/>
        <w:ind w:left="27"/>
        <w:jc w:val="both"/>
        <w:rPr>
          <w:szCs w:val="24"/>
          <w:rtl/>
        </w:rPr>
      </w:pPr>
      <w:r w:rsidRPr="00B5273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1AEE63AA" w14:textId="77777777" w:rsidR="00BB706A" w:rsidRPr="00003017" w:rsidRDefault="00BB706A" w:rsidP="00BB706A">
      <w:pPr>
        <w:spacing w:line="276" w:lineRule="auto"/>
        <w:ind w:left="-1"/>
        <w:jc w:val="both"/>
        <w:rPr>
          <w:color w:val="FF0000"/>
          <w:szCs w:val="24"/>
          <w:rtl/>
        </w:rPr>
      </w:pPr>
    </w:p>
    <w:p w14:paraId="46722668" w14:textId="77777777" w:rsidR="00BB706A" w:rsidRPr="00DA31DA" w:rsidRDefault="00BB706A" w:rsidP="00BB706A">
      <w:pPr>
        <w:rPr>
          <w:szCs w:val="24"/>
          <w:rtl/>
        </w:rPr>
      </w:pPr>
      <w:r w:rsidRPr="00003017">
        <w:rPr>
          <w:rFonts w:hint="cs"/>
          <w:color w:val="FF0000"/>
          <w:szCs w:val="24"/>
          <w:rtl/>
        </w:rPr>
        <w:tab/>
      </w:r>
      <w:r w:rsidRPr="00003017">
        <w:rPr>
          <w:rFonts w:hint="cs"/>
          <w:color w:val="FF0000"/>
          <w:szCs w:val="24"/>
          <w:rtl/>
        </w:rPr>
        <w:tab/>
      </w:r>
      <w:r w:rsidRPr="00003017">
        <w:rPr>
          <w:rFonts w:hint="cs"/>
          <w:color w:val="FF0000"/>
          <w:szCs w:val="24"/>
          <w:rtl/>
        </w:rPr>
        <w:tab/>
      </w:r>
      <w:r w:rsidRPr="00003017">
        <w:rPr>
          <w:rFonts w:hint="cs"/>
          <w:color w:val="FF0000"/>
          <w:szCs w:val="24"/>
          <w:rtl/>
        </w:rPr>
        <w:tab/>
      </w:r>
      <w:r w:rsidRPr="00003017">
        <w:rPr>
          <w:rFonts w:hint="cs"/>
          <w:color w:val="FF0000"/>
          <w:szCs w:val="24"/>
          <w:rtl/>
        </w:rPr>
        <w:tab/>
      </w:r>
      <w:r w:rsidRPr="00003017">
        <w:rPr>
          <w:rFonts w:hint="cs"/>
          <w:color w:val="FF0000"/>
          <w:szCs w:val="24"/>
          <w:rtl/>
        </w:rPr>
        <w:tab/>
      </w:r>
      <w:r w:rsidRPr="00003017">
        <w:rPr>
          <w:rFonts w:hint="cs"/>
          <w:color w:val="FF0000"/>
          <w:szCs w:val="24"/>
          <w:rtl/>
        </w:rPr>
        <w:tab/>
      </w:r>
      <w:r w:rsidRPr="00003017">
        <w:rPr>
          <w:rFonts w:hint="cs"/>
          <w:color w:val="FF0000"/>
          <w:szCs w:val="24"/>
          <w:rtl/>
        </w:rPr>
        <w:tab/>
      </w:r>
      <w:r w:rsidRPr="00DA31DA">
        <w:rPr>
          <w:rFonts w:hint="cs"/>
          <w:szCs w:val="24"/>
          <w:rtl/>
        </w:rPr>
        <w:tab/>
      </w:r>
      <w:r>
        <w:rPr>
          <w:rFonts w:hint="cs"/>
          <w:szCs w:val="24"/>
          <w:rtl/>
        </w:rPr>
        <w:t xml:space="preserve">   </w:t>
      </w:r>
      <w:r w:rsidRPr="00DA31DA">
        <w:rPr>
          <w:rFonts w:hint="cs"/>
          <w:szCs w:val="24"/>
          <w:rtl/>
        </w:rPr>
        <w:t>ב</w:t>
      </w:r>
      <w:r>
        <w:rPr>
          <w:rFonts w:hint="cs"/>
          <w:szCs w:val="24"/>
          <w:rtl/>
        </w:rPr>
        <w:t xml:space="preserve"> </w:t>
      </w:r>
      <w:r w:rsidRPr="00DA31DA">
        <w:rPr>
          <w:rFonts w:hint="cs"/>
          <w:szCs w:val="24"/>
          <w:rtl/>
        </w:rPr>
        <w:t>ב</w:t>
      </w:r>
      <w:r>
        <w:rPr>
          <w:rFonts w:hint="cs"/>
          <w:szCs w:val="24"/>
          <w:rtl/>
        </w:rPr>
        <w:t xml:space="preserve"> </w:t>
      </w:r>
      <w:r w:rsidRPr="00DA31DA">
        <w:rPr>
          <w:rFonts w:hint="cs"/>
          <w:szCs w:val="24"/>
          <w:rtl/>
        </w:rPr>
        <w:t>ר</w:t>
      </w:r>
      <w:r>
        <w:rPr>
          <w:rFonts w:hint="cs"/>
          <w:szCs w:val="24"/>
          <w:rtl/>
        </w:rPr>
        <w:t xml:space="preserve"> </w:t>
      </w:r>
      <w:r w:rsidRPr="00DA31DA">
        <w:rPr>
          <w:rFonts w:hint="cs"/>
          <w:szCs w:val="24"/>
          <w:rtl/>
        </w:rPr>
        <w:t>כ</w:t>
      </w:r>
      <w:r>
        <w:rPr>
          <w:rFonts w:hint="cs"/>
          <w:szCs w:val="24"/>
          <w:rtl/>
        </w:rPr>
        <w:t xml:space="preserve"> </w:t>
      </w:r>
      <w:r w:rsidRPr="00DA31DA">
        <w:rPr>
          <w:rFonts w:hint="cs"/>
          <w:szCs w:val="24"/>
          <w:rtl/>
        </w:rPr>
        <w:t>ה,</w:t>
      </w:r>
    </w:p>
    <w:p w14:paraId="24383FB8" w14:textId="77777777" w:rsidR="00BB706A" w:rsidRPr="00DA31DA" w:rsidRDefault="00BB706A" w:rsidP="00BB706A">
      <w:pPr>
        <w:rPr>
          <w:szCs w:val="24"/>
          <w:rtl/>
        </w:rPr>
      </w:pPr>
    </w:p>
    <w:p w14:paraId="1CF14AD1" w14:textId="77777777" w:rsidR="00BB706A" w:rsidRPr="00DA31DA" w:rsidRDefault="00BB706A" w:rsidP="00BB706A">
      <w:pPr>
        <w:ind w:left="5760" w:firstLine="720"/>
        <w:rPr>
          <w:szCs w:val="24"/>
        </w:rPr>
      </w:pPr>
      <w:r w:rsidRPr="00DA31DA">
        <w:rPr>
          <w:rFonts w:hint="cs"/>
          <w:szCs w:val="24"/>
          <w:rtl/>
        </w:rPr>
        <w:t>ועדת המכרזים</w:t>
      </w:r>
    </w:p>
    <w:p w14:paraId="6FCFE6A6" w14:textId="77777777" w:rsidR="00BB706A" w:rsidRPr="00DA31DA" w:rsidRDefault="00BB706A" w:rsidP="00BB706A">
      <w:pPr>
        <w:ind w:left="5760" w:firstLine="720"/>
        <w:rPr>
          <w:szCs w:val="24"/>
        </w:rPr>
      </w:pPr>
    </w:p>
    <w:p w14:paraId="461EA7C5" w14:textId="5C44F98B" w:rsidR="00F42907" w:rsidRDefault="00F42907" w:rsidP="00F757BF">
      <w:pPr>
        <w:pStyle w:val="2"/>
        <w:ind w:left="453" w:hanging="426"/>
        <w:jc w:val="left"/>
        <w:rPr>
          <w:rtl/>
        </w:rPr>
      </w:pPr>
    </w:p>
    <w:sectPr w:rsidR="00F42907" w:rsidSect="00A3548D">
      <w:headerReference w:type="even" r:id="rId14"/>
      <w:headerReference w:type="default" r:id="rId15"/>
      <w:footerReference w:type="default" r:id="rId16"/>
      <w:headerReference w:type="first" r:id="rId17"/>
      <w:footerReference w:type="first" r:id="rId18"/>
      <w:pgSz w:w="11906" w:h="16838"/>
      <w:pgMar w:top="1440" w:right="849" w:bottom="1440" w:left="709"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1EA7C8" w14:textId="77777777" w:rsidR="00755CF3" w:rsidRDefault="00755CF3">
      <w:r>
        <w:separator/>
      </w:r>
    </w:p>
  </w:endnote>
  <w:endnote w:type="continuationSeparator" w:id="0">
    <w:p w14:paraId="461EA7C9" w14:textId="77777777" w:rsidR="00755CF3" w:rsidRDefault="00755C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988712" w14:textId="73EDABA9" w:rsidR="00F757BF" w:rsidRDefault="00F757BF" w:rsidP="00F757BF">
    <w:pPr>
      <w:pStyle w:val="a7"/>
      <w:pBdr>
        <w:top w:val="single" w:sz="6" w:space="1" w:color="auto"/>
      </w:pBdr>
      <w:jc w:val="center"/>
      <w:rPr>
        <w:rtl/>
      </w:rPr>
    </w:pPr>
    <w:r>
      <w:rPr>
        <w:rFonts w:hint="cs"/>
        <w:noProof/>
        <w:rtl/>
        <w:lang w:eastAsia="en-US"/>
      </w:rPr>
      <w:drawing>
        <wp:anchor distT="0" distB="0" distL="114300" distR="114300" simplePos="0" relativeHeight="251660288" behindDoc="0" locked="0" layoutInCell="1" allowOverlap="1" wp14:anchorId="26460440" wp14:editId="671DDB0C">
          <wp:simplePos x="0" y="0"/>
          <wp:positionH relativeFrom="column">
            <wp:posOffset>5617845</wp:posOffset>
          </wp:positionH>
          <wp:positionV relativeFrom="paragraph">
            <wp:posOffset>-41275</wp:posOffset>
          </wp:positionV>
          <wp:extent cx="685800" cy="323850"/>
          <wp:effectExtent l="19050" t="0" r="0" b="0"/>
          <wp:wrapNone/>
          <wp:docPr id="2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632837710"/>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BB706A">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404112513"/>
        <w:placeholder>
          <w:docPart w:val="B8AF3E7883F24A208DA69425A97B68F5"/>
        </w:placeholder>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BB706A">
          <w:rPr>
            <w:rFonts w:hint="cs"/>
            <w:rtl/>
          </w:rPr>
          <w:t>02-5006766</w:t>
        </w:r>
      </w:sdtContent>
    </w:sdt>
  </w:p>
  <w:p w14:paraId="7982B426" w14:textId="5077F9A5" w:rsidR="00F757BF" w:rsidRPr="00FC5DE0" w:rsidRDefault="00F757BF" w:rsidP="00F757BF">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001587252"/>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BB706A">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461EA7CF" w14:textId="2120DA97" w:rsidR="00755CF3" w:rsidRPr="00F757BF" w:rsidRDefault="00755CF3" w:rsidP="00F757BF">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D2" w14:textId="463EB0E4" w:rsidR="00755CF3" w:rsidRDefault="00755CF3" w:rsidP="008C31B3">
    <w:pPr>
      <w:pStyle w:val="a7"/>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461EA7D8" wp14:editId="461EA7D9">
          <wp:simplePos x="0" y="0"/>
          <wp:positionH relativeFrom="column">
            <wp:posOffset>5617845</wp:posOffset>
          </wp:positionH>
          <wp:positionV relativeFrom="paragraph">
            <wp:posOffset>-41275</wp:posOffset>
          </wp:positionV>
          <wp:extent cx="685800" cy="323850"/>
          <wp:effectExtent l="19050" t="0" r="0" b="0"/>
          <wp:wrapNone/>
          <wp:docPr id="2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sidR="00F757BF">
      <w:rPr>
        <w:rFonts w:hint="cs"/>
        <w:rtl/>
      </w:rPr>
      <w:t xml:space="preserve"> </w:t>
    </w:r>
    <w:sdt>
      <w:sdtPr>
        <w:rPr>
          <w:rtl/>
        </w:rPr>
        <w:alias w:val="טלפון עבודה של חותם"/>
        <w:tag w:val="טלפון עבודה של חותם"/>
        <w:id w:val="-7690487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BB706A">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025984263"/>
        <w:placeholder>
          <w:docPart w:val="23307663046046028F1C27470A74A108"/>
        </w:placeholder>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BB706A">
          <w:rPr>
            <w:rFonts w:hint="cs"/>
            <w:rtl/>
          </w:rPr>
          <w:t>02-5006766</w:t>
        </w:r>
      </w:sdtContent>
    </w:sdt>
  </w:p>
  <w:p w14:paraId="461EA7D3" w14:textId="6DBB042A" w:rsidR="00755CF3" w:rsidRPr="00FC5DE0" w:rsidRDefault="00755CF3" w:rsidP="00F757BF">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90658085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BB706A">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sidR="0016193E">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61EA7C6" w14:textId="77777777" w:rsidR="00755CF3" w:rsidRDefault="00755CF3">
      <w:r>
        <w:separator/>
      </w:r>
    </w:p>
  </w:footnote>
  <w:footnote w:type="continuationSeparator" w:id="0">
    <w:p w14:paraId="461EA7C7" w14:textId="77777777" w:rsidR="00755CF3" w:rsidRDefault="00755CF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CA" w14:textId="77777777" w:rsidR="00755CF3" w:rsidRDefault="007B301D">
    <w:pPr>
      <w:pStyle w:val="a3"/>
      <w:framePr w:wrap="around" w:vAnchor="text" w:hAnchor="margin" w:xAlign="center" w:y="1"/>
      <w:rPr>
        <w:rStyle w:val="a6"/>
        <w:rtl/>
      </w:rPr>
    </w:pPr>
    <w:r>
      <w:rPr>
        <w:rStyle w:val="a6"/>
        <w:rtl/>
      </w:rPr>
      <w:fldChar w:fldCharType="begin"/>
    </w:r>
    <w:r w:rsidR="00755CF3">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EA7CB" w14:textId="77777777" w:rsidR="00755CF3" w:rsidRPr="00D3749A" w:rsidRDefault="00755CF3" w:rsidP="00D3749A">
    <w:pPr>
      <w:pStyle w:val="a3"/>
      <w:jc w:val="center"/>
      <w:rPr>
        <w:b/>
        <w:bCs/>
      </w:rPr>
    </w:pPr>
    <w:r w:rsidRPr="00D3749A">
      <w:rPr>
        <w:rFonts w:hint="cs"/>
        <w:rtl/>
      </w:rPr>
      <w:t xml:space="preserve"> </w:t>
    </w:r>
    <w:r w:rsidRPr="00D3749A">
      <w:rPr>
        <w:b/>
        <w:bCs/>
        <w:rtl/>
      </w:rPr>
      <w:t xml:space="preserve">- </w:t>
    </w:r>
    <w:sdt>
      <w:sdtPr>
        <w:rPr>
          <w:b/>
          <w:bCs/>
          <w:rtl/>
        </w:rPr>
        <w:id w:val="319852914"/>
        <w:docPartObj>
          <w:docPartGallery w:val="Page Numbers (Top of Page)"/>
          <w:docPartUnique/>
        </w:docPartObj>
      </w:sdtPr>
      <w:sdtEndPr/>
      <w:sdtContent>
        <w:r w:rsidR="007B301D" w:rsidRPr="00D3749A">
          <w:rPr>
            <w:b/>
            <w:bCs/>
          </w:rPr>
          <w:fldChar w:fldCharType="begin"/>
        </w:r>
        <w:r w:rsidRPr="00D3749A">
          <w:rPr>
            <w:b/>
            <w:bCs/>
          </w:rPr>
          <w:instrText xml:space="preserve"> PAGE   \* MERGEFORMAT </w:instrText>
        </w:r>
        <w:r w:rsidR="007B301D" w:rsidRPr="00D3749A">
          <w:rPr>
            <w:b/>
            <w:bCs/>
          </w:rPr>
          <w:fldChar w:fldCharType="separate"/>
        </w:r>
        <w:r w:rsidR="00A3548D" w:rsidRPr="00A3548D">
          <w:rPr>
            <w:rFonts w:cs="Calibri"/>
            <w:b/>
            <w:bCs/>
            <w:noProof/>
            <w:rtl/>
            <w:lang w:val="he-IL"/>
          </w:rPr>
          <w:t>2</w:t>
        </w:r>
        <w:r w:rsidR="007B301D" w:rsidRPr="00D3749A">
          <w:rPr>
            <w:b/>
            <w:bCs/>
          </w:rPr>
          <w:fldChar w:fldCharType="end"/>
        </w:r>
        <w:r w:rsidRPr="00D3749A">
          <w:rPr>
            <w:rFonts w:hint="cs"/>
            <w:b/>
            <w:bCs/>
            <w:rtl/>
          </w:rPr>
          <w:t xml:space="preserve"> -</w:t>
        </w:r>
      </w:sdtContent>
    </w:sdt>
  </w:p>
  <w:p w14:paraId="461EA7CC" w14:textId="77777777" w:rsidR="00755CF3" w:rsidRPr="008B766D" w:rsidRDefault="00755CF3"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6B7DAF" w14:textId="3788483C" w:rsidR="0016193E" w:rsidRDefault="005C1594" w:rsidP="00EA4FBF">
    <w:pPr>
      <w:pStyle w:val="a3"/>
      <w:spacing w:line="276" w:lineRule="auto"/>
      <w:jc w:val="center"/>
      <w:rPr>
        <w:b/>
        <w:bCs/>
        <w:szCs w:val="40"/>
        <w:rtl/>
      </w:rPr>
    </w:pPr>
    <w:r>
      <w:rPr>
        <w:b/>
        <w:bCs/>
        <w:noProof/>
        <w:szCs w:val="40"/>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57100375" r:id="rId2"/>
      </w:object>
    </w:r>
  </w:p>
  <w:p w14:paraId="461EA7D0" w14:textId="47C18495" w:rsidR="00755CF3" w:rsidRDefault="00755CF3" w:rsidP="00EA4FBF">
    <w:pPr>
      <w:pStyle w:val="a3"/>
      <w:spacing w:line="276" w:lineRule="auto"/>
      <w:jc w:val="center"/>
      <w:rPr>
        <w:b/>
        <w:bCs/>
        <w:szCs w:val="40"/>
        <w:rtl/>
      </w:rPr>
    </w:pPr>
    <w:r>
      <w:rPr>
        <w:b/>
        <w:bCs/>
        <w:szCs w:val="40"/>
        <w:rtl/>
      </w:rPr>
      <w:t>מדינת ישראל</w:t>
    </w:r>
  </w:p>
  <w:p w14:paraId="461EA7D1" w14:textId="15D65987" w:rsidR="00755CF3" w:rsidRDefault="009211F2" w:rsidP="00EA4FBF">
    <w:pPr>
      <w:pStyle w:val="a3"/>
      <w:tabs>
        <w:tab w:val="left" w:pos="2447"/>
      </w:tabs>
      <w:spacing w:line="276" w:lineRule="auto"/>
      <w:jc w:val="center"/>
      <w:rPr>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84894"/>
    <w:rsid w:val="0009042F"/>
    <w:rsid w:val="0009109A"/>
    <w:rsid w:val="000A474B"/>
    <w:rsid w:val="000C47C5"/>
    <w:rsid w:val="000F0C8E"/>
    <w:rsid w:val="00144716"/>
    <w:rsid w:val="001617C9"/>
    <w:rsid w:val="0016193E"/>
    <w:rsid w:val="001858F8"/>
    <w:rsid w:val="001A0FEB"/>
    <w:rsid w:val="001B2F89"/>
    <w:rsid w:val="001E6F0E"/>
    <w:rsid w:val="00222968"/>
    <w:rsid w:val="00223E43"/>
    <w:rsid w:val="0022754A"/>
    <w:rsid w:val="002D3504"/>
    <w:rsid w:val="00311B81"/>
    <w:rsid w:val="00320EE5"/>
    <w:rsid w:val="00321798"/>
    <w:rsid w:val="00340E66"/>
    <w:rsid w:val="00376817"/>
    <w:rsid w:val="003A30BD"/>
    <w:rsid w:val="004507AE"/>
    <w:rsid w:val="00457790"/>
    <w:rsid w:val="0047091B"/>
    <w:rsid w:val="004B49E7"/>
    <w:rsid w:val="004B5ED3"/>
    <w:rsid w:val="00524880"/>
    <w:rsid w:val="00533FCA"/>
    <w:rsid w:val="0054114E"/>
    <w:rsid w:val="0054428A"/>
    <w:rsid w:val="00572795"/>
    <w:rsid w:val="00581672"/>
    <w:rsid w:val="005A0DC2"/>
    <w:rsid w:val="005C1594"/>
    <w:rsid w:val="005D5135"/>
    <w:rsid w:val="005E1D69"/>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802BA6"/>
    <w:rsid w:val="00811390"/>
    <w:rsid w:val="00817153"/>
    <w:rsid w:val="00824DD5"/>
    <w:rsid w:val="0086169C"/>
    <w:rsid w:val="00861DDB"/>
    <w:rsid w:val="008675F8"/>
    <w:rsid w:val="008B766D"/>
    <w:rsid w:val="008C2B14"/>
    <w:rsid w:val="008C31B3"/>
    <w:rsid w:val="008F164D"/>
    <w:rsid w:val="00900B65"/>
    <w:rsid w:val="00901041"/>
    <w:rsid w:val="00911C83"/>
    <w:rsid w:val="009211F2"/>
    <w:rsid w:val="00924837"/>
    <w:rsid w:val="00941814"/>
    <w:rsid w:val="00956911"/>
    <w:rsid w:val="00964B15"/>
    <w:rsid w:val="009C1E95"/>
    <w:rsid w:val="009F25EB"/>
    <w:rsid w:val="009F2EC3"/>
    <w:rsid w:val="00A0165F"/>
    <w:rsid w:val="00A107E7"/>
    <w:rsid w:val="00A32262"/>
    <w:rsid w:val="00A3548D"/>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B706A"/>
    <w:rsid w:val="00BF712F"/>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732B0"/>
    <w:rsid w:val="00DD792B"/>
    <w:rsid w:val="00DE05FC"/>
    <w:rsid w:val="00E001A4"/>
    <w:rsid w:val="00E90583"/>
    <w:rsid w:val="00EA4FBF"/>
    <w:rsid w:val="00EB319A"/>
    <w:rsid w:val="00EC6CEF"/>
    <w:rsid w:val="00ED37B2"/>
    <w:rsid w:val="00F076B3"/>
    <w:rsid w:val="00F14C94"/>
    <w:rsid w:val="00F41F84"/>
    <w:rsid w:val="00F42907"/>
    <w:rsid w:val="00F5586C"/>
    <w:rsid w:val="00F63432"/>
    <w:rsid w:val="00F757BF"/>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461EA7C3"/>
  <w15:docId w15:val="{D59DCDF4-0C7C-4230-AE58-36FD0C3C5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b">
    <w:name w:val="List Paragraph"/>
    <w:basedOn w:val="a"/>
    <w:link w:val="ac"/>
    <w:uiPriority w:val="34"/>
    <w:qFormat/>
    <w:rsid w:val="00BB706A"/>
    <w:pPr>
      <w:ind w:left="720"/>
      <w:contextualSpacing/>
    </w:pPr>
  </w:style>
  <w:style w:type="character" w:customStyle="1" w:styleId="ac">
    <w:name w:val="פיסקת רשימה תו"/>
    <w:basedOn w:val="a0"/>
    <w:link w:val="ab"/>
    <w:uiPriority w:val="34"/>
    <w:rsid w:val="00BB706A"/>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53DB"/>
    <w:rsid w:val="00290458"/>
    <w:rsid w:val="003027F5"/>
    <w:rsid w:val="00CB5D3F"/>
    <w:rsid w:val="00E653D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53DB"/>
    <w:pPr>
      <w:bidi/>
    </w:pPr>
    <w:rPr>
      <w:rFonts w:cs="Times New Roman"/>
      <w:sz w:val="3276"/>
      <w:szCs w:val="327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9FBCBEEC45D4216AEE9ACD24564D0C0">
    <w:name w:val="39FBCBEEC45D4216AEE9ACD24564D0C0"/>
    <w:rsid w:val="00E653D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B52E81289F74AE19DAE6493BD20C738">
    <w:name w:val="3B52E81289F74AE19DAE6493BD20C738"/>
    <w:rsid w:val="00E653D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03BE62C72D3492891B72F53AB534309">
    <w:name w:val="203BE62C72D3492891B72F53AB534309"/>
    <w:rsid w:val="00E653D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2145149E7E14A1887332CDA9FB28F46">
    <w:name w:val="52145149E7E14A1887332CDA9FB28F46"/>
    <w:rsid w:val="00290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97BD86918B847409CCCC9955F4BC55D">
    <w:name w:val="297BD86918B847409CCCC9955F4BC55D"/>
    <w:rsid w:val="00290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08C580BD45941BB83F3E8E682BB1427">
    <w:name w:val="508C580BD45941BB83F3E8E682BB1427"/>
    <w:rsid w:val="00290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B8AF3E7883F24A208DA69425A97B68F5">
    <w:name w:val="B8AF3E7883F24A208DA69425A97B68F5"/>
    <w:rsid w:val="003027F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3307663046046028F1C27470A74A108">
    <w:name w:val="23307663046046028F1C27470A74A108"/>
    <w:rsid w:val="003027F5"/>
    <w:pPr>
      <w:tabs>
        <w:tab w:val="center" w:pos="4153"/>
        <w:tab w:val="right" w:pos="8306"/>
      </w:tabs>
      <w:bidi/>
      <w:spacing w:after="0" w:line="240" w:lineRule="auto"/>
    </w:pPr>
    <w:rPr>
      <w:rFonts w:ascii="Times New Roman" w:eastAsia="Times New Roman" w:hAnsi="Times New Roman" w:cs="David"/>
      <w:sz w:val="24"/>
      <w:szCs w:val="26"/>
      <w:lang w:eastAsia="he-I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8" ma:contentTypeDescription="" ma:contentTypeScope="" ma:versionID="67d16f691e4c57a635c3fec106ee2bf5">
  <xsd:schema xmlns:xsd="http://www.w3.org/2001/XMLSchema" xmlns:p="http://schemas.microsoft.com/office/2006/metadata/properties" xmlns:ns2="8f5b83e0-a1d3-486c-bd07-833a425c74af" xmlns:ns3="87b98568-e8c7-4058-bf31-e11803adaf85" targetNamespace="http://schemas.microsoft.com/office/2006/metadata/properties" ma:root="true" ma:fieldsID="43e64321d2a75ea03836e741e116dade"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חת_98_2014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13 במרץ 2014</DocumentCreateDateEnglish>
    <DocumentCreateDateHebrew xmlns="8f5b83e0-a1d3-486c-bd07-833a425c74af">י"א באדר ב' התשע"ד</DocumentCreateDateHebrew>
    <SubjectDocument xmlns="8f5b83e0-a1d3-486c-bd07-833a425c74af">קול קורא 4/14 למחקרים בתחום האנרגיה ומדעי האדמה והים לשנת 2014</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13/03/2014 03:10;15</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98</CounterString>
    <LastLockUser xmlns="8f5b83e0-a1d3-486c-bd07-833a425c74af" xsi:nil="true"/>
    <LastCheckOutDate xmlns="8f5b83e0-a1d3-486c-bd07-833a425c74af">13/03/2014 02:58;48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HT_98_2014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2014-03-13T00:00:00+00:00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C8E022BE-8B3B-474B-9A99-B249DC37FE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06F88991-CF04-42F8-A4FC-E21E0C856472}">
  <ds:schemaRefs>
    <ds:schemaRef ds:uri="http://purl.org/dc/elements/1.1/"/>
    <ds:schemaRef ds:uri="http://www.w3.org/XML/1998/namespace"/>
    <ds:schemaRef ds:uri="http://schemas.microsoft.com/office/2006/documentManagement/types"/>
    <ds:schemaRef ds:uri="http://purl.org/dc/dcmitype/"/>
    <ds:schemaRef ds:uri="8f5b83e0-a1d3-486c-bd07-833a425c74af"/>
    <ds:schemaRef ds:uri="http://schemas.openxmlformats.org/package/2006/metadata/core-properties"/>
    <ds:schemaRef ds:uri="87b98568-e8c7-4058-bf31-e11803adaf85"/>
    <ds:schemaRef ds:uri="http://schemas.microsoft.com/office/2006/metadata/properties"/>
    <ds:schemaRef ds:uri="http://purl.org/dc/terms/"/>
  </ds:schemaRefs>
</ds:datastoreItem>
</file>

<file path=customXml/itemProps5.xml><?xml version="1.0" encoding="utf-8"?>
<ds:datastoreItem xmlns:ds="http://schemas.openxmlformats.org/officeDocument/2006/customXml" ds:itemID="{958BEB85-50FD-4963-B336-5B08B2D35B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449</Words>
  <Characters>2245</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dcterms:created xsi:type="dcterms:W3CDTF">2014-03-23T15:20:00Z</dcterms:created>
  <dcterms:modified xsi:type="dcterms:W3CDTF">2014-03-23T15:20:00Z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